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490233">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0231C" w:rsidRPr="0080231C">
        <w:rPr>
          <w:rFonts w:ascii="Arial" w:eastAsia="MS Mincho" w:hAnsi="Arial" w:cs="Arial"/>
          <w:b/>
          <w:sz w:val="24"/>
          <w:szCs w:val="24"/>
          <w:lang w:eastAsia="ja-JP"/>
        </w:rPr>
        <w:t>S1-231108</w:t>
      </w:r>
    </w:p>
    <w:p w:rsidR="00B4181D" w:rsidRPr="000D6532" w:rsidRDefault="0080231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Berlin, Germany, </w:t>
      </w:r>
      <w:r w:rsidR="00490233" w:rsidRPr="00490233">
        <w:rPr>
          <w:rFonts w:ascii="Arial" w:eastAsia="MS Mincho" w:hAnsi="Arial" w:cs="Arial"/>
          <w:b/>
          <w:sz w:val="24"/>
          <w:szCs w:val="24"/>
          <w:lang w:eastAsia="ja-JP"/>
        </w:rPr>
        <w:t>22 - 26 May 2023</w:t>
      </w:r>
      <w:r w:rsidR="001C332D" w:rsidRPr="001C332D">
        <w:rPr>
          <w:rFonts w:ascii="Arial" w:eastAsia="MS Mincho" w:hAnsi="Arial" w:cs="Arial"/>
          <w:b/>
          <w:sz w:val="24"/>
          <w:szCs w:val="24"/>
          <w:lang w:eastAsia="ja-JP"/>
        </w:rPr>
        <w:tab/>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0231C" w:rsidRPr="0080231C">
        <w:rPr>
          <w:rFonts w:ascii="Arial" w:eastAsia="SimSun" w:hAnsi="Arial"/>
          <w:sz w:val="24"/>
          <w:szCs w:val="24"/>
          <w:lang w:eastAsia="en-GB"/>
        </w:rPr>
        <w:t>CR on European Train Control System (ETCS) and Ground to Train Radio (GTR) service continuity at border crossing</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0231C">
        <w:rPr>
          <w:rFonts w:ascii="Arial" w:eastAsia="SimSun" w:hAnsi="Arial"/>
          <w:sz w:val="24"/>
          <w:szCs w:val="24"/>
          <w:lang w:eastAsia="en-GB"/>
        </w:rPr>
        <w:t>7.12</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80231C">
        <w:rPr>
          <w:rFonts w:ascii="Arial" w:eastAsia="SimSun" w:hAnsi="Arial"/>
          <w:sz w:val="24"/>
          <w:szCs w:val="24"/>
          <w:lang w:eastAsia="en-GB"/>
        </w:rPr>
        <w:t>b&lt;&gt;com, (SNCF)</w:t>
      </w:r>
      <w:r w:rsidR="00B50B41">
        <w:rPr>
          <w:rFonts w:ascii="Arial" w:eastAsia="SimSun" w:hAnsi="Arial"/>
          <w:sz w:val="24"/>
          <w:szCs w:val="24"/>
          <w:lang w:eastAsia="en-GB"/>
        </w:rPr>
        <w:t>, Novamint</w:t>
      </w:r>
    </w:p>
    <w:p w:rsidR="00B4181D" w:rsidRPr="00E96559"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E96559">
        <w:rPr>
          <w:rFonts w:ascii="Arial" w:eastAsia="SimSun" w:hAnsi="Arial"/>
          <w:sz w:val="24"/>
          <w:szCs w:val="24"/>
          <w:lang w:val="fr-FR" w:eastAsia="en-GB"/>
        </w:rPr>
        <w:t>Contact:</w:t>
      </w:r>
      <w:r w:rsidRPr="00E96559">
        <w:rPr>
          <w:rFonts w:ascii="Arial" w:eastAsia="SimSun" w:hAnsi="Arial"/>
          <w:sz w:val="24"/>
          <w:szCs w:val="24"/>
          <w:lang w:val="fr-FR" w:eastAsia="en-GB"/>
        </w:rPr>
        <w:tab/>
      </w:r>
      <w:r w:rsidR="0080231C" w:rsidRPr="00E96559">
        <w:rPr>
          <w:rFonts w:ascii="Arial" w:eastAsia="SimSun" w:hAnsi="Arial"/>
          <w:sz w:val="24"/>
          <w:szCs w:val="24"/>
          <w:lang w:val="fr-FR" w:eastAsia="en-GB"/>
        </w:rPr>
        <w:t>Mathieu Lagrange, mathieu.lagrange@b-com.com</w:t>
      </w:r>
      <w:r w:rsidRPr="00E96559">
        <w:rPr>
          <w:rFonts w:ascii="Arial" w:eastAsia="SimSun" w:hAnsi="Arial"/>
          <w:sz w:val="24"/>
          <w:szCs w:val="24"/>
          <w:lang w:val="fr-FR" w:eastAsia="en-GB"/>
        </w:rPr>
        <w:t xml:space="preserve"> </w:t>
      </w:r>
    </w:p>
    <w:p w:rsidR="00B4181D" w:rsidRPr="00E96559" w:rsidRDefault="00B4181D" w:rsidP="00B4181D">
      <w:pPr>
        <w:pBdr>
          <w:bottom w:val="single" w:sz="6" w:space="1" w:color="auto"/>
        </w:pBdr>
        <w:spacing w:after="0"/>
        <w:rPr>
          <w:rFonts w:eastAsia="MS Mincho"/>
          <w:sz w:val="24"/>
          <w:szCs w:val="24"/>
          <w:lang w:val="fr-FR"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0231C" w:rsidRPr="0080231C">
        <w:rPr>
          <w:rFonts w:ascii="Arial" w:eastAsia="Calibri" w:hAnsi="Arial" w:cs="Arial"/>
          <w:i/>
          <w:sz w:val="22"/>
          <w:szCs w:val="22"/>
        </w:rPr>
        <w:t>This change request provides a use case related to switching over ETCS level 2 and Ground to Train Radio service while trains cross borders.</w:t>
      </w:r>
    </w:p>
    <w:p w:rsidR="00A45CBF" w:rsidRPr="000D6532" w:rsidRDefault="00A45CBF" w:rsidP="00B4181D"/>
    <w:p w:rsidR="00234E84" w:rsidRPr="0080231C" w:rsidRDefault="002069C0" w:rsidP="00B00980">
      <w:pPr>
        <w:pStyle w:val="Titre2"/>
        <w:rPr>
          <w:lang w:val="en-US"/>
        </w:rPr>
      </w:pPr>
      <w:proofErr w:type="gramStart"/>
      <w:r w:rsidRPr="0080231C">
        <w:rPr>
          <w:lang w:val="en-US"/>
        </w:rPr>
        <w:t>x.1</w:t>
      </w:r>
      <w:proofErr w:type="gramEnd"/>
      <w:r w:rsidRPr="0080231C">
        <w:rPr>
          <w:lang w:val="en-US"/>
        </w:rPr>
        <w:tab/>
      </w:r>
      <w:r w:rsidR="0080231C" w:rsidRPr="0080231C">
        <w:rPr>
          <w:lang w:val="en-US"/>
        </w:rPr>
        <w:t>Use case on ETCS and GTR service continuity at border crossing</w:t>
      </w:r>
    </w:p>
    <w:p w:rsidR="00234E84" w:rsidRPr="0080231C" w:rsidRDefault="00234E84" w:rsidP="00B00980">
      <w:pPr>
        <w:pStyle w:val="Titre3"/>
        <w:rPr>
          <w:lang w:val="en-US"/>
        </w:rPr>
      </w:pPr>
      <w:bookmarkStart w:id="0" w:name="_Toc355779204"/>
      <w:bookmarkStart w:id="1" w:name="_Toc354586742"/>
      <w:bookmarkStart w:id="2" w:name="_Toc354590101"/>
      <w:bookmarkEnd w:id="0"/>
      <w:bookmarkEnd w:id="1"/>
      <w:bookmarkEnd w:id="2"/>
      <w:proofErr w:type="gramStart"/>
      <w:r w:rsidRPr="0080231C">
        <w:rPr>
          <w:lang w:val="en-US"/>
        </w:rPr>
        <w:t>x.1.1</w:t>
      </w:r>
      <w:proofErr w:type="gramEnd"/>
      <w:r w:rsidR="002069C0" w:rsidRPr="0080231C">
        <w:rPr>
          <w:lang w:val="en-US"/>
        </w:rPr>
        <w:tab/>
      </w:r>
      <w:r w:rsidRPr="0080231C">
        <w:rPr>
          <w:lang w:val="en-US"/>
        </w:rPr>
        <w:t>Description</w:t>
      </w:r>
    </w:p>
    <w:p w:rsidR="0080231C" w:rsidRPr="0080231C" w:rsidRDefault="0080231C" w:rsidP="0080231C">
      <w:pPr>
        <w:rPr>
          <w:lang w:val="en-US"/>
        </w:rPr>
      </w:pPr>
      <w:r w:rsidRPr="0080231C">
        <w:rPr>
          <w:lang w:val="en-US"/>
        </w:rPr>
        <w:t xml:space="preserve">This use case deals with service continuity of European Train Control System and of Ground to Train Radio at border crossing. </w:t>
      </w:r>
    </w:p>
    <w:p w:rsidR="0080231C" w:rsidRPr="0080231C" w:rsidRDefault="0080231C" w:rsidP="0080231C">
      <w:pPr>
        <w:rPr>
          <w:lang w:val="en-US"/>
        </w:rPr>
      </w:pPr>
      <w:r w:rsidRPr="0080231C">
        <w:rPr>
          <w:lang w:val="en-US"/>
        </w:rPr>
        <w:t>The European Train Control System (ETCS) is a Control-Command system associated with train speed control. It allows for the regulation of train spacing and ensures protection of the train and its passengers at specifically dangerous places. Its aim is to replace the various national systems for automatic train protection in high-speed transportation and thus:</w:t>
      </w:r>
    </w:p>
    <w:p w:rsidR="0080231C" w:rsidRPr="0080231C" w:rsidRDefault="0080231C" w:rsidP="0080231C">
      <w:pPr>
        <w:rPr>
          <w:lang w:val="en-US"/>
        </w:rPr>
      </w:pPr>
      <w:r w:rsidRPr="0080231C">
        <w:rPr>
          <w:lang w:val="en-US"/>
        </w:rPr>
        <w:t>-</w:t>
      </w:r>
      <w:r w:rsidRPr="0080231C">
        <w:rPr>
          <w:lang w:val="en-US"/>
        </w:rPr>
        <w:tab/>
        <w:t>Enable interoperability of European high-speed lines</w:t>
      </w:r>
    </w:p>
    <w:p w:rsidR="0080231C" w:rsidRPr="0080231C" w:rsidRDefault="0080231C" w:rsidP="0080231C">
      <w:pPr>
        <w:rPr>
          <w:lang w:val="en-US"/>
        </w:rPr>
      </w:pPr>
      <w:r w:rsidRPr="0080231C">
        <w:rPr>
          <w:lang w:val="en-US"/>
        </w:rPr>
        <w:t>-</w:t>
      </w:r>
      <w:r w:rsidRPr="0080231C">
        <w:rPr>
          <w:lang w:val="en-US"/>
        </w:rPr>
        <w:tab/>
        <w:t>Increase line capacity</w:t>
      </w:r>
    </w:p>
    <w:p w:rsidR="0080231C" w:rsidRPr="0080231C" w:rsidRDefault="0080231C" w:rsidP="0080231C">
      <w:pPr>
        <w:rPr>
          <w:lang w:val="en-US"/>
        </w:rPr>
      </w:pPr>
      <w:r w:rsidRPr="0080231C">
        <w:rPr>
          <w:lang w:val="en-US"/>
        </w:rPr>
        <w:t>-</w:t>
      </w:r>
      <w:r w:rsidRPr="0080231C">
        <w:rPr>
          <w:lang w:val="en-US"/>
        </w:rPr>
        <w:tab/>
        <w:t>Improve the average speed of transportation.</w:t>
      </w:r>
    </w:p>
    <w:p w:rsidR="00234E84" w:rsidRPr="0080231C" w:rsidRDefault="0080231C" w:rsidP="0080231C">
      <w:pPr>
        <w:rPr>
          <w:lang w:val="en-US"/>
        </w:rPr>
      </w:pPr>
      <w:r w:rsidRPr="0080231C">
        <w:rPr>
          <w:lang w:val="en-US"/>
        </w:rPr>
        <w:t xml:space="preserve">In this use case, the ETCS Level 2 system is based on 5G technology, it allows to displays railways </w:t>
      </w:r>
      <w:r w:rsidR="00CD5B25" w:rsidRPr="0080231C">
        <w:rPr>
          <w:lang w:val="en-US"/>
        </w:rPr>
        <w:t>signaling</w:t>
      </w:r>
      <w:r w:rsidRPr="0080231C">
        <w:rPr>
          <w:lang w:val="en-US"/>
        </w:rPr>
        <w:t xml:space="preserve"> and traffic authorizations in the driver’s cabin. The train sends data to the Radio Block Center (RBC) through the on-board European Vital Computer (EVC). Euro-tags positioned at regular intervals on the rails serve as passive positioning beacons that are used by the on-board EVC to report exact train’s location and direction. This location can be further refined using additional sensors and systems such as accelerometers, odometers, or radar.</w:t>
      </w:r>
    </w:p>
    <w:p w:rsidR="0080231C" w:rsidRPr="0080231C" w:rsidRDefault="0080231C" w:rsidP="0080231C">
      <w:pPr>
        <w:rPr>
          <w:rFonts w:eastAsia="Calibri"/>
          <w:lang w:val="en-US"/>
        </w:rPr>
      </w:pPr>
      <w:r w:rsidRPr="0080231C">
        <w:rPr>
          <w:rFonts w:eastAsia="Calibri"/>
          <w:lang w:val="en-US"/>
        </w:rPr>
        <w:t>For clarity, the situation is depicted on the below picture:</w:t>
      </w:r>
    </w:p>
    <w:p w:rsidR="0080231C" w:rsidRPr="0080231C" w:rsidRDefault="0080231C" w:rsidP="0080231C">
      <w:pPr>
        <w:jc w:val="center"/>
        <w:rPr>
          <w:noProof/>
          <w:lang w:val="en-US" w:eastAsia="fr-FR"/>
        </w:rPr>
      </w:pPr>
      <w:r w:rsidRPr="0080231C">
        <w:rPr>
          <w:noProof/>
          <w:lang w:val="fr-FR" w:eastAsia="fr-FR"/>
        </w:rPr>
        <w:drawing>
          <wp:inline distT="0" distB="0" distL="0" distR="0">
            <wp:extent cx="4470400" cy="2355850"/>
            <wp:effectExtent l="0" t="0" r="6350" b="6350"/>
            <wp:docPr id="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70400" cy="2355850"/>
                    </a:xfrm>
                    <a:prstGeom prst="rect">
                      <a:avLst/>
                    </a:prstGeom>
                    <a:noFill/>
                    <a:ln>
                      <a:noFill/>
                    </a:ln>
                  </pic:spPr>
                </pic:pic>
              </a:graphicData>
            </a:graphic>
          </wp:inline>
        </w:drawing>
      </w:r>
    </w:p>
    <w:p w:rsidR="0080231C" w:rsidRPr="0080231C" w:rsidRDefault="0080231C" w:rsidP="0080231C">
      <w:pPr>
        <w:rPr>
          <w:rFonts w:eastAsia="Calibri"/>
          <w:lang w:val="en-US"/>
        </w:rPr>
      </w:pPr>
      <w:r w:rsidRPr="0080231C">
        <w:rPr>
          <w:rFonts w:eastAsia="Calibri"/>
          <w:lang w:val="en-US"/>
        </w:rPr>
        <w:lastRenderedPageBreak/>
        <w:t xml:space="preserve">In parallel, the Train to Ground Radio critical voice service shall remain active along the path from the station to the maintenance center. This service is mainly used on electrified tracks, for a total of about 16,000 km of lines in France. It enables communication between ground-based agents/equipment and those on board trains and is specifically in charge of </w:t>
      </w:r>
      <w:r w:rsidR="00CD5B25">
        <w:rPr>
          <w:rFonts w:eastAsia="Calibri"/>
          <w:lang w:val="en-US"/>
        </w:rPr>
        <w:t xml:space="preserve">carrying </w:t>
      </w:r>
      <w:r w:rsidRPr="0080231C">
        <w:rPr>
          <w:rFonts w:eastAsia="Calibri"/>
          <w:lang w:val="en-US"/>
        </w:rPr>
        <w:t>radio alerts, point to point calls, group calls, geo-fencing, train location …</w:t>
      </w:r>
    </w:p>
    <w:p w:rsidR="0080231C" w:rsidRPr="0080231C" w:rsidRDefault="0080231C" w:rsidP="0080231C">
      <w:pPr>
        <w:rPr>
          <w:rFonts w:eastAsia="Calibri"/>
          <w:lang w:val="en-US"/>
        </w:rPr>
      </w:pPr>
      <w:r w:rsidRPr="0080231C">
        <w:rPr>
          <w:rFonts w:eastAsia="Calibri"/>
          <w:lang w:val="en-US"/>
        </w:rPr>
        <w:t>The train position is communicated to the remote driving agent and is also used to integrate him into the group call corresponding to the area where the train is located.</w:t>
      </w:r>
    </w:p>
    <w:p w:rsidR="0080231C" w:rsidRPr="0080231C" w:rsidRDefault="0080231C" w:rsidP="0080231C">
      <w:pPr>
        <w:rPr>
          <w:rFonts w:eastAsia="Calibri"/>
          <w:lang w:val="en-US"/>
        </w:rPr>
      </w:pPr>
      <w:r w:rsidRPr="0080231C">
        <w:rPr>
          <w:rFonts w:eastAsia="Calibri"/>
          <w:lang w:val="en-US"/>
        </w:rPr>
        <w:t>In summary, the communication flows are characterized as follow:</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43"/>
        <w:gridCol w:w="2693"/>
        <w:gridCol w:w="992"/>
        <w:gridCol w:w="1276"/>
        <w:gridCol w:w="1276"/>
      </w:tblGrid>
      <w:tr w:rsidR="0080231C" w:rsidRPr="0080231C" w:rsidTr="00C37EBD">
        <w:trPr>
          <w:cantSplit/>
          <w:trHeight w:val="153"/>
          <w:tblHeader/>
          <w:jc w:val="center"/>
        </w:trPr>
        <w:tc>
          <w:tcPr>
            <w:tcW w:w="1838" w:type="dxa"/>
          </w:tcPr>
          <w:p w:rsidR="0080231C" w:rsidRPr="0080231C" w:rsidRDefault="0080231C" w:rsidP="00C37EBD">
            <w:pPr>
              <w:pStyle w:val="TAH"/>
              <w:jc w:val="left"/>
              <w:rPr>
                <w:lang w:eastAsia="de-DE"/>
              </w:rPr>
            </w:pPr>
            <w:r w:rsidRPr="0080231C">
              <w:rPr>
                <w:lang w:eastAsia="de-DE"/>
              </w:rPr>
              <w:t>Flow type</w:t>
            </w:r>
          </w:p>
        </w:tc>
        <w:tc>
          <w:tcPr>
            <w:tcW w:w="1843" w:type="dxa"/>
          </w:tcPr>
          <w:p w:rsidR="0080231C" w:rsidRPr="0080231C" w:rsidRDefault="0080231C" w:rsidP="00C37EBD">
            <w:pPr>
              <w:pStyle w:val="TAH"/>
              <w:jc w:val="left"/>
              <w:rPr>
                <w:lang w:eastAsia="de-DE"/>
              </w:rPr>
            </w:pPr>
            <w:r w:rsidRPr="0080231C">
              <w:rPr>
                <w:lang w:eastAsia="de-DE"/>
              </w:rPr>
              <w:t>DL throughput</w:t>
            </w:r>
          </w:p>
        </w:tc>
        <w:tc>
          <w:tcPr>
            <w:tcW w:w="2693" w:type="dxa"/>
          </w:tcPr>
          <w:p w:rsidR="0080231C" w:rsidRPr="0080231C" w:rsidRDefault="0080231C" w:rsidP="00C37EBD">
            <w:pPr>
              <w:pStyle w:val="TAH"/>
              <w:jc w:val="left"/>
              <w:rPr>
                <w:lang w:eastAsia="de-DE"/>
              </w:rPr>
            </w:pPr>
            <w:r w:rsidRPr="0080231C">
              <w:rPr>
                <w:lang w:eastAsia="de-DE"/>
              </w:rPr>
              <w:t>UL throughput</w:t>
            </w:r>
          </w:p>
        </w:tc>
        <w:tc>
          <w:tcPr>
            <w:tcW w:w="992" w:type="dxa"/>
          </w:tcPr>
          <w:p w:rsidR="0080231C" w:rsidRPr="0080231C" w:rsidRDefault="0080231C" w:rsidP="00C37EBD">
            <w:pPr>
              <w:pStyle w:val="TAH"/>
              <w:jc w:val="left"/>
              <w:rPr>
                <w:lang w:eastAsia="de-DE"/>
              </w:rPr>
            </w:pPr>
            <w:r w:rsidRPr="0080231C">
              <w:rPr>
                <w:lang w:eastAsia="de-DE"/>
              </w:rPr>
              <w:t>Latency</w:t>
            </w:r>
          </w:p>
        </w:tc>
        <w:tc>
          <w:tcPr>
            <w:tcW w:w="1276" w:type="dxa"/>
          </w:tcPr>
          <w:p w:rsidR="0080231C" w:rsidRPr="0080231C" w:rsidRDefault="0080231C" w:rsidP="00C37EBD">
            <w:pPr>
              <w:pStyle w:val="TAH"/>
              <w:jc w:val="left"/>
              <w:rPr>
                <w:lang w:eastAsia="de-DE"/>
              </w:rPr>
            </w:pPr>
            <w:r w:rsidRPr="0080231C">
              <w:rPr>
                <w:lang w:eastAsia="de-DE"/>
              </w:rPr>
              <w:t>Availability</w:t>
            </w:r>
          </w:p>
        </w:tc>
        <w:tc>
          <w:tcPr>
            <w:tcW w:w="1276" w:type="dxa"/>
          </w:tcPr>
          <w:p w:rsidR="0080231C" w:rsidRPr="0080231C" w:rsidRDefault="0080231C" w:rsidP="00C37EBD">
            <w:pPr>
              <w:pStyle w:val="TAH"/>
              <w:jc w:val="left"/>
              <w:rPr>
                <w:lang w:eastAsia="de-DE"/>
              </w:rPr>
            </w:pPr>
          </w:p>
        </w:tc>
      </w:tr>
      <w:tr w:rsidR="0080231C" w:rsidRPr="0080231C" w:rsidTr="00C37EBD">
        <w:trPr>
          <w:cantSplit/>
          <w:trHeight w:val="227"/>
          <w:jc w:val="center"/>
        </w:trPr>
        <w:tc>
          <w:tcPr>
            <w:tcW w:w="1838" w:type="dxa"/>
          </w:tcPr>
          <w:p w:rsidR="0080231C" w:rsidRPr="0080231C" w:rsidRDefault="0080231C" w:rsidP="00C37EBD">
            <w:pPr>
              <w:pStyle w:val="TAL"/>
              <w:rPr>
                <w:lang w:eastAsia="de-DE"/>
              </w:rPr>
            </w:pPr>
            <w:r w:rsidRPr="0080231C">
              <w:rPr>
                <w:rFonts w:eastAsia="SimSun"/>
              </w:rPr>
              <w:t>Flow CTR/CMD</w:t>
            </w:r>
          </w:p>
        </w:tc>
        <w:tc>
          <w:tcPr>
            <w:tcW w:w="1843" w:type="dxa"/>
          </w:tcPr>
          <w:p w:rsidR="0080231C" w:rsidRPr="0080231C" w:rsidRDefault="0080231C" w:rsidP="00C37EBD">
            <w:pPr>
              <w:pStyle w:val="TAL"/>
              <w:rPr>
                <w:lang w:eastAsia="de-DE"/>
              </w:rPr>
            </w:pPr>
            <w:r w:rsidRPr="0080231C">
              <w:rPr>
                <w:lang w:eastAsia="de-DE"/>
              </w:rPr>
              <w:t>&lt;10 kbps</w:t>
            </w:r>
          </w:p>
        </w:tc>
        <w:tc>
          <w:tcPr>
            <w:tcW w:w="2693" w:type="dxa"/>
          </w:tcPr>
          <w:p w:rsidR="0080231C" w:rsidRPr="0080231C" w:rsidRDefault="0080231C" w:rsidP="00C37EBD">
            <w:pPr>
              <w:pStyle w:val="TAL"/>
              <w:rPr>
                <w:lang w:eastAsia="de-DE"/>
              </w:rPr>
            </w:pPr>
            <w:r w:rsidRPr="0080231C">
              <w:rPr>
                <w:lang w:eastAsia="de-DE"/>
              </w:rPr>
              <w:t>&lt;10 kbps</w:t>
            </w:r>
          </w:p>
        </w:tc>
        <w:tc>
          <w:tcPr>
            <w:tcW w:w="992" w:type="dxa"/>
          </w:tcPr>
          <w:p w:rsidR="0080231C" w:rsidRPr="0080231C" w:rsidRDefault="0080231C" w:rsidP="00C37EBD">
            <w:pPr>
              <w:pStyle w:val="TAL"/>
              <w:rPr>
                <w:lang w:eastAsia="de-DE"/>
              </w:rPr>
            </w:pPr>
            <w:r w:rsidRPr="0080231C">
              <w:rPr>
                <w:lang w:eastAsia="de-DE"/>
              </w:rPr>
              <w:t>&lt;100ms</w:t>
            </w:r>
          </w:p>
        </w:tc>
        <w:tc>
          <w:tcPr>
            <w:tcW w:w="1276" w:type="dxa"/>
          </w:tcPr>
          <w:p w:rsidR="0080231C" w:rsidRPr="0080231C" w:rsidRDefault="0080231C" w:rsidP="00C37EBD">
            <w:pPr>
              <w:pStyle w:val="TAL"/>
              <w:rPr>
                <w:lang w:eastAsia="de-DE"/>
              </w:rPr>
            </w:pPr>
            <w:r w:rsidRPr="0080231C">
              <w:rPr>
                <w:lang w:eastAsia="de-DE"/>
              </w:rPr>
              <w:t>99,99%</w:t>
            </w:r>
          </w:p>
        </w:tc>
        <w:tc>
          <w:tcPr>
            <w:tcW w:w="1276" w:type="dxa"/>
          </w:tcPr>
          <w:p w:rsidR="0080231C" w:rsidRPr="0080231C" w:rsidRDefault="0080231C" w:rsidP="00C37EBD">
            <w:pPr>
              <w:pStyle w:val="TAL"/>
              <w:rPr>
                <w:lang w:eastAsia="de-DE"/>
              </w:rPr>
            </w:pPr>
          </w:p>
        </w:tc>
      </w:tr>
      <w:tr w:rsidR="0080231C" w:rsidRPr="0080231C" w:rsidTr="00C37EBD">
        <w:trPr>
          <w:cantSplit/>
          <w:trHeight w:val="272"/>
          <w:jc w:val="center"/>
        </w:trPr>
        <w:tc>
          <w:tcPr>
            <w:tcW w:w="1838" w:type="dxa"/>
          </w:tcPr>
          <w:p w:rsidR="0080231C" w:rsidRPr="0080231C" w:rsidRDefault="0080231C" w:rsidP="00C37EBD">
            <w:pPr>
              <w:pStyle w:val="TAL"/>
              <w:rPr>
                <w:rFonts w:eastAsia="SimSun"/>
              </w:rPr>
            </w:pPr>
            <w:r w:rsidRPr="0080231C">
              <w:rPr>
                <w:rFonts w:eastAsia="SimSun"/>
              </w:rPr>
              <w:t>Location</w:t>
            </w:r>
          </w:p>
        </w:tc>
        <w:tc>
          <w:tcPr>
            <w:tcW w:w="1843" w:type="dxa"/>
          </w:tcPr>
          <w:p w:rsidR="0080231C" w:rsidRPr="0080231C" w:rsidRDefault="0080231C" w:rsidP="00C37EBD">
            <w:pPr>
              <w:pStyle w:val="TAL"/>
              <w:rPr>
                <w:lang w:eastAsia="de-DE"/>
              </w:rPr>
            </w:pPr>
            <w:r w:rsidRPr="0080231C">
              <w:rPr>
                <w:lang w:eastAsia="de-DE"/>
              </w:rPr>
              <w:t>Few bps</w:t>
            </w:r>
          </w:p>
        </w:tc>
        <w:tc>
          <w:tcPr>
            <w:tcW w:w="2693" w:type="dxa"/>
          </w:tcPr>
          <w:p w:rsidR="0080231C" w:rsidRPr="0080231C" w:rsidRDefault="0080231C" w:rsidP="00C37EBD">
            <w:pPr>
              <w:pStyle w:val="TAL"/>
              <w:rPr>
                <w:lang w:eastAsia="de-DE"/>
              </w:rPr>
            </w:pPr>
            <w:r w:rsidRPr="0080231C">
              <w:rPr>
                <w:lang w:eastAsia="de-DE"/>
              </w:rPr>
              <w:t>2 kbps</w:t>
            </w:r>
          </w:p>
        </w:tc>
        <w:tc>
          <w:tcPr>
            <w:tcW w:w="992" w:type="dxa"/>
          </w:tcPr>
          <w:p w:rsidR="0080231C" w:rsidRPr="0080231C" w:rsidRDefault="0080231C" w:rsidP="00C37EBD">
            <w:pPr>
              <w:pStyle w:val="TAL"/>
              <w:rPr>
                <w:lang w:eastAsia="de-DE"/>
              </w:rPr>
            </w:pPr>
            <w:r w:rsidRPr="0080231C">
              <w:rPr>
                <w:lang w:eastAsia="de-DE"/>
              </w:rPr>
              <w:t>&lt;100ms</w:t>
            </w:r>
          </w:p>
        </w:tc>
        <w:tc>
          <w:tcPr>
            <w:tcW w:w="1276" w:type="dxa"/>
          </w:tcPr>
          <w:p w:rsidR="0080231C" w:rsidRPr="0080231C" w:rsidRDefault="0080231C" w:rsidP="00C37EBD">
            <w:pPr>
              <w:pStyle w:val="TAL"/>
              <w:rPr>
                <w:lang w:eastAsia="de-DE"/>
              </w:rPr>
            </w:pPr>
            <w:r w:rsidRPr="0080231C">
              <w:rPr>
                <w:lang w:eastAsia="de-DE"/>
              </w:rPr>
              <w:t>99,9%</w:t>
            </w:r>
          </w:p>
        </w:tc>
        <w:tc>
          <w:tcPr>
            <w:tcW w:w="1276" w:type="dxa"/>
          </w:tcPr>
          <w:p w:rsidR="0080231C" w:rsidRPr="0080231C" w:rsidRDefault="0080231C" w:rsidP="00C37EBD">
            <w:pPr>
              <w:pStyle w:val="TAL"/>
              <w:rPr>
                <w:lang w:eastAsia="de-DE"/>
              </w:rPr>
            </w:pPr>
          </w:p>
        </w:tc>
      </w:tr>
      <w:tr w:rsidR="0080231C" w:rsidRPr="0080231C" w:rsidTr="00C37EBD">
        <w:trPr>
          <w:cantSplit/>
          <w:trHeight w:val="275"/>
          <w:jc w:val="center"/>
        </w:trPr>
        <w:tc>
          <w:tcPr>
            <w:tcW w:w="1838" w:type="dxa"/>
          </w:tcPr>
          <w:p w:rsidR="0080231C" w:rsidRPr="0080231C" w:rsidRDefault="0080231C" w:rsidP="00C37EBD">
            <w:pPr>
              <w:pStyle w:val="TAL"/>
              <w:rPr>
                <w:rFonts w:eastAsia="SimSun"/>
              </w:rPr>
            </w:pPr>
            <w:r w:rsidRPr="0080231C">
              <w:rPr>
                <w:rFonts w:eastAsia="SimSun"/>
              </w:rPr>
              <w:t>General Messages</w:t>
            </w:r>
          </w:p>
        </w:tc>
        <w:tc>
          <w:tcPr>
            <w:tcW w:w="1843" w:type="dxa"/>
          </w:tcPr>
          <w:p w:rsidR="0080231C" w:rsidRPr="0080231C" w:rsidRDefault="0080231C" w:rsidP="00C37EBD">
            <w:pPr>
              <w:pStyle w:val="TAL"/>
              <w:rPr>
                <w:lang w:eastAsia="de-DE"/>
              </w:rPr>
            </w:pPr>
            <w:r w:rsidRPr="0080231C">
              <w:rPr>
                <w:lang w:eastAsia="de-DE"/>
              </w:rPr>
              <w:t>Few kbps</w:t>
            </w:r>
          </w:p>
        </w:tc>
        <w:tc>
          <w:tcPr>
            <w:tcW w:w="2693" w:type="dxa"/>
          </w:tcPr>
          <w:p w:rsidR="0080231C" w:rsidRPr="0080231C" w:rsidRDefault="0080231C" w:rsidP="00C37EBD">
            <w:pPr>
              <w:pStyle w:val="TAL"/>
              <w:rPr>
                <w:lang w:eastAsia="de-DE"/>
              </w:rPr>
            </w:pPr>
            <w:r w:rsidRPr="0080231C">
              <w:rPr>
                <w:lang w:eastAsia="de-DE"/>
              </w:rPr>
              <w:t>Few kbps</w:t>
            </w:r>
          </w:p>
        </w:tc>
        <w:tc>
          <w:tcPr>
            <w:tcW w:w="992" w:type="dxa"/>
          </w:tcPr>
          <w:p w:rsidR="0080231C" w:rsidRPr="0080231C" w:rsidRDefault="0080231C" w:rsidP="00C37EBD">
            <w:pPr>
              <w:pStyle w:val="TAL"/>
              <w:rPr>
                <w:lang w:eastAsia="de-DE"/>
              </w:rPr>
            </w:pPr>
            <w:r w:rsidRPr="0080231C">
              <w:rPr>
                <w:lang w:eastAsia="de-DE"/>
              </w:rPr>
              <w:t>&lt;100ms</w:t>
            </w:r>
          </w:p>
        </w:tc>
        <w:tc>
          <w:tcPr>
            <w:tcW w:w="1276" w:type="dxa"/>
          </w:tcPr>
          <w:p w:rsidR="0080231C" w:rsidRPr="0080231C" w:rsidRDefault="0080231C" w:rsidP="00C37EBD">
            <w:pPr>
              <w:pStyle w:val="TAL"/>
              <w:rPr>
                <w:lang w:eastAsia="de-DE"/>
              </w:rPr>
            </w:pPr>
            <w:r w:rsidRPr="0080231C">
              <w:rPr>
                <w:lang w:eastAsia="de-DE"/>
              </w:rPr>
              <w:t>99, 99%</w:t>
            </w:r>
          </w:p>
        </w:tc>
        <w:tc>
          <w:tcPr>
            <w:tcW w:w="1276" w:type="dxa"/>
          </w:tcPr>
          <w:p w:rsidR="0080231C" w:rsidRPr="0080231C" w:rsidRDefault="0080231C" w:rsidP="00C37EBD">
            <w:pPr>
              <w:pStyle w:val="TAL"/>
              <w:rPr>
                <w:lang w:eastAsia="de-DE"/>
              </w:rPr>
            </w:pPr>
          </w:p>
        </w:tc>
      </w:tr>
      <w:tr w:rsidR="0080231C" w:rsidRPr="0080231C" w:rsidTr="00C37EBD">
        <w:trPr>
          <w:cantSplit/>
          <w:trHeight w:val="275"/>
          <w:jc w:val="center"/>
        </w:trPr>
        <w:tc>
          <w:tcPr>
            <w:tcW w:w="1838" w:type="dxa"/>
          </w:tcPr>
          <w:p w:rsidR="0080231C" w:rsidRPr="0080231C" w:rsidRDefault="0080231C" w:rsidP="00C37EBD">
            <w:pPr>
              <w:pStyle w:val="TAL"/>
              <w:rPr>
                <w:rFonts w:eastAsia="SimSun"/>
              </w:rPr>
            </w:pPr>
            <w:r w:rsidRPr="0080231C">
              <w:rPr>
                <w:rFonts w:eastAsia="SimSun"/>
              </w:rPr>
              <w:t>Radio Alerts</w:t>
            </w:r>
          </w:p>
        </w:tc>
        <w:tc>
          <w:tcPr>
            <w:tcW w:w="1843" w:type="dxa"/>
          </w:tcPr>
          <w:p w:rsidR="0080231C" w:rsidRPr="0080231C" w:rsidRDefault="0080231C" w:rsidP="00C37EBD">
            <w:pPr>
              <w:pStyle w:val="TAL"/>
              <w:rPr>
                <w:lang w:eastAsia="de-DE"/>
              </w:rPr>
            </w:pPr>
            <w:r w:rsidRPr="0080231C">
              <w:rPr>
                <w:lang w:eastAsia="de-DE"/>
              </w:rPr>
              <w:t>WB-AMR : 24 kbps</w:t>
            </w:r>
          </w:p>
        </w:tc>
        <w:tc>
          <w:tcPr>
            <w:tcW w:w="2693" w:type="dxa"/>
          </w:tcPr>
          <w:p w:rsidR="0080231C" w:rsidRPr="0080231C" w:rsidRDefault="0080231C" w:rsidP="00C37EBD">
            <w:pPr>
              <w:pStyle w:val="TAL"/>
              <w:rPr>
                <w:lang w:eastAsia="de-DE"/>
              </w:rPr>
            </w:pPr>
            <w:r w:rsidRPr="0080231C">
              <w:rPr>
                <w:lang w:eastAsia="de-DE"/>
              </w:rPr>
              <w:t>WB-AMR : 24 kbps</w:t>
            </w:r>
          </w:p>
        </w:tc>
        <w:tc>
          <w:tcPr>
            <w:tcW w:w="992" w:type="dxa"/>
          </w:tcPr>
          <w:p w:rsidR="0080231C" w:rsidRPr="0080231C" w:rsidRDefault="0080231C" w:rsidP="00C37EBD">
            <w:pPr>
              <w:pStyle w:val="TAL"/>
              <w:rPr>
                <w:lang w:eastAsia="de-DE"/>
              </w:rPr>
            </w:pPr>
            <w:r w:rsidRPr="0080231C">
              <w:rPr>
                <w:lang w:eastAsia="de-DE"/>
              </w:rPr>
              <w:t>&lt;100ms</w:t>
            </w:r>
          </w:p>
        </w:tc>
        <w:tc>
          <w:tcPr>
            <w:tcW w:w="1276" w:type="dxa"/>
          </w:tcPr>
          <w:p w:rsidR="0080231C" w:rsidRPr="0080231C" w:rsidRDefault="0080231C" w:rsidP="00C37EBD">
            <w:pPr>
              <w:pStyle w:val="TAL"/>
              <w:rPr>
                <w:lang w:eastAsia="de-DE"/>
              </w:rPr>
            </w:pPr>
            <w:r w:rsidRPr="0080231C">
              <w:rPr>
                <w:lang w:eastAsia="de-DE"/>
              </w:rPr>
              <w:t>99.9%</w:t>
            </w:r>
          </w:p>
        </w:tc>
        <w:tc>
          <w:tcPr>
            <w:tcW w:w="1276" w:type="dxa"/>
          </w:tcPr>
          <w:p w:rsidR="0080231C" w:rsidRPr="0080231C" w:rsidRDefault="0080231C" w:rsidP="00C37EBD">
            <w:pPr>
              <w:pStyle w:val="TAL"/>
              <w:rPr>
                <w:lang w:eastAsia="de-DE"/>
              </w:rPr>
            </w:pPr>
            <w:r w:rsidRPr="0080231C">
              <w:rPr>
                <w:rFonts w:cs="Calibri"/>
                <w:color w:val="000000"/>
                <w:szCs w:val="22"/>
                <w:lang w:eastAsia="fr-FR"/>
              </w:rPr>
              <w:t>MOS &gt;= 3</w:t>
            </w:r>
          </w:p>
        </w:tc>
      </w:tr>
      <w:tr w:rsidR="0080231C" w:rsidRPr="0080231C" w:rsidTr="00C37EBD">
        <w:trPr>
          <w:cantSplit/>
          <w:trHeight w:val="275"/>
          <w:jc w:val="center"/>
        </w:trPr>
        <w:tc>
          <w:tcPr>
            <w:tcW w:w="1838" w:type="dxa"/>
          </w:tcPr>
          <w:p w:rsidR="0080231C" w:rsidRPr="0080231C" w:rsidRDefault="0080231C" w:rsidP="00C37EBD">
            <w:pPr>
              <w:pStyle w:val="TAL"/>
              <w:rPr>
                <w:rFonts w:eastAsia="SimSun"/>
              </w:rPr>
            </w:pPr>
            <w:r w:rsidRPr="0080231C">
              <w:rPr>
                <w:rFonts w:eastAsia="SimSun"/>
              </w:rPr>
              <w:t>Voice calls</w:t>
            </w:r>
          </w:p>
        </w:tc>
        <w:tc>
          <w:tcPr>
            <w:tcW w:w="1843" w:type="dxa"/>
          </w:tcPr>
          <w:p w:rsidR="0080231C" w:rsidRPr="0080231C" w:rsidRDefault="0080231C" w:rsidP="00C37EBD">
            <w:pPr>
              <w:pStyle w:val="TAL"/>
              <w:rPr>
                <w:lang w:eastAsia="de-DE"/>
              </w:rPr>
            </w:pPr>
            <w:r w:rsidRPr="0080231C">
              <w:rPr>
                <w:lang w:eastAsia="de-DE"/>
              </w:rPr>
              <w:t>WB-AMR : 24 kbps</w:t>
            </w:r>
          </w:p>
        </w:tc>
        <w:tc>
          <w:tcPr>
            <w:tcW w:w="2693" w:type="dxa"/>
          </w:tcPr>
          <w:p w:rsidR="0080231C" w:rsidRPr="0080231C" w:rsidRDefault="0080231C" w:rsidP="00C37EBD">
            <w:pPr>
              <w:pStyle w:val="TAL"/>
              <w:rPr>
                <w:lang w:eastAsia="de-DE"/>
              </w:rPr>
            </w:pPr>
            <w:r w:rsidRPr="0080231C">
              <w:rPr>
                <w:lang w:eastAsia="de-DE"/>
              </w:rPr>
              <w:t>WB-AMR : 24 kbps</w:t>
            </w:r>
          </w:p>
        </w:tc>
        <w:tc>
          <w:tcPr>
            <w:tcW w:w="992" w:type="dxa"/>
          </w:tcPr>
          <w:p w:rsidR="0080231C" w:rsidRPr="0080231C" w:rsidRDefault="0080231C" w:rsidP="00C37EBD">
            <w:pPr>
              <w:pStyle w:val="TAL"/>
              <w:rPr>
                <w:lang w:eastAsia="de-DE"/>
              </w:rPr>
            </w:pPr>
            <w:r w:rsidRPr="0080231C">
              <w:rPr>
                <w:lang w:eastAsia="de-DE"/>
              </w:rPr>
              <w:t>&lt;100ms</w:t>
            </w:r>
          </w:p>
        </w:tc>
        <w:tc>
          <w:tcPr>
            <w:tcW w:w="1276" w:type="dxa"/>
          </w:tcPr>
          <w:p w:rsidR="0080231C" w:rsidRPr="0080231C" w:rsidRDefault="0080231C" w:rsidP="00C37EBD">
            <w:pPr>
              <w:pStyle w:val="TAL"/>
              <w:rPr>
                <w:lang w:eastAsia="de-DE"/>
              </w:rPr>
            </w:pPr>
            <w:r w:rsidRPr="0080231C">
              <w:rPr>
                <w:lang w:eastAsia="de-DE"/>
              </w:rPr>
              <w:t>99%</w:t>
            </w:r>
          </w:p>
        </w:tc>
        <w:tc>
          <w:tcPr>
            <w:tcW w:w="1276" w:type="dxa"/>
          </w:tcPr>
          <w:p w:rsidR="0080231C" w:rsidRPr="0080231C" w:rsidRDefault="0080231C" w:rsidP="00C37EBD">
            <w:pPr>
              <w:pStyle w:val="TAL"/>
              <w:rPr>
                <w:rFonts w:cs="Calibri"/>
                <w:color w:val="000000"/>
                <w:szCs w:val="22"/>
                <w:lang w:eastAsia="fr-FR"/>
              </w:rPr>
            </w:pPr>
            <w:r w:rsidRPr="0080231C">
              <w:rPr>
                <w:rFonts w:cs="Calibri"/>
                <w:color w:val="000000"/>
                <w:szCs w:val="22"/>
                <w:lang w:eastAsia="fr-FR"/>
              </w:rPr>
              <w:t>MOS &gt;= 3</w:t>
            </w:r>
          </w:p>
        </w:tc>
      </w:tr>
    </w:tbl>
    <w:p w:rsidR="0080231C" w:rsidRPr="0080231C" w:rsidRDefault="0080231C" w:rsidP="0080231C">
      <w:pPr>
        <w:rPr>
          <w:rFonts w:eastAsia="Calibri"/>
          <w:lang w:val="en-US"/>
        </w:rPr>
      </w:pPr>
    </w:p>
    <w:p w:rsidR="0080231C" w:rsidRPr="0080231C" w:rsidRDefault="0080231C" w:rsidP="0080231C">
      <w:pPr>
        <w:rPr>
          <w:rFonts w:eastAsia="Calibri"/>
          <w:lang w:val="en-US"/>
        </w:rPr>
      </w:pPr>
      <w:r w:rsidRPr="0080231C">
        <w:rPr>
          <w:rFonts w:eastAsia="Calibri"/>
          <w:lang w:val="en-US"/>
        </w:rPr>
        <w:t>In today’s implementations, the border crossing can be transparent if a “buffer” area is assigned for it. In this “buffer” area, the passage on a specific beacon triggers the switch of the on-board UE and EVC on the visited FRMCS network. So for a short period of time, in the “buffer” area, the train is temporarily offline and follows instructions that are sent in advance by the home RBC. When the modem registers to the visited network, the visited RBC takes over and updates the on-board instructions.</w:t>
      </w:r>
    </w:p>
    <w:p w:rsidR="0080231C" w:rsidRPr="0080231C" w:rsidRDefault="0080231C" w:rsidP="0080231C">
      <w:pPr>
        <w:rPr>
          <w:rFonts w:eastAsia="Calibri"/>
          <w:lang w:val="en-US"/>
        </w:rPr>
      </w:pPr>
      <w:r w:rsidRPr="0080231C">
        <w:rPr>
          <w:rFonts w:eastAsia="Calibri"/>
          <w:lang w:val="en-US"/>
        </w:rPr>
        <w:t>The active Ground to Train Radio service shall be maintained in the buffer area and is seamlessly switched over at the border crossing. A less demanding implementation allows 5s service interruption time allowing the on-board UE to select the new FRMCS network, register itself, and establish a PDU session with suitable QoS policies. Once done, the MCX client has to subscribe to the Ground to Train Radio service in the new network.</w:t>
      </w:r>
    </w:p>
    <w:p w:rsidR="0080231C" w:rsidRPr="0080231C" w:rsidRDefault="0080231C" w:rsidP="0080231C">
      <w:pPr>
        <w:rPr>
          <w:rFonts w:eastAsia="Calibri"/>
          <w:lang w:val="en-US"/>
        </w:rPr>
      </w:pPr>
      <w:r w:rsidRPr="0080231C">
        <w:rPr>
          <w:rFonts w:eastAsia="Calibri"/>
          <w:lang w:val="en-US"/>
        </w:rPr>
        <w:t>The overall connectivity situation is represented on the picture below:</w:t>
      </w:r>
    </w:p>
    <w:p w:rsidR="0080231C" w:rsidRPr="0080231C" w:rsidRDefault="0080231C" w:rsidP="0080231C">
      <w:pPr>
        <w:rPr>
          <w:rFonts w:eastAsia="Calibri"/>
          <w:lang w:val="en-US"/>
        </w:rPr>
      </w:pPr>
      <w:r w:rsidRPr="0080231C">
        <w:rPr>
          <w:noProof/>
          <w:lang w:val="fr-FR" w:eastAsia="fr-FR"/>
        </w:rPr>
        <w:drawing>
          <wp:inline distT="0" distB="0" distL="0" distR="0">
            <wp:extent cx="6127750" cy="2654300"/>
            <wp:effectExtent l="0" t="0" r="635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27750" cy="2654300"/>
                    </a:xfrm>
                    <a:prstGeom prst="rect">
                      <a:avLst/>
                    </a:prstGeom>
                    <a:noFill/>
                    <a:ln>
                      <a:noFill/>
                    </a:ln>
                  </pic:spPr>
                </pic:pic>
              </a:graphicData>
            </a:graphic>
          </wp:inline>
        </w:drawing>
      </w:r>
    </w:p>
    <w:p w:rsidR="00234E84" w:rsidRPr="0080231C" w:rsidRDefault="00234E84" w:rsidP="00B00980">
      <w:pPr>
        <w:pStyle w:val="Titre3"/>
        <w:rPr>
          <w:lang w:val="en-US"/>
        </w:rPr>
      </w:pPr>
      <w:bookmarkStart w:id="3" w:name="_Toc355779205"/>
      <w:bookmarkStart w:id="4" w:name="_Toc354586743"/>
      <w:bookmarkStart w:id="5" w:name="_Toc354590102"/>
      <w:bookmarkEnd w:id="3"/>
      <w:bookmarkEnd w:id="4"/>
      <w:bookmarkEnd w:id="5"/>
      <w:proofErr w:type="gramStart"/>
      <w:r w:rsidRPr="0080231C">
        <w:rPr>
          <w:lang w:val="en-US"/>
        </w:rPr>
        <w:t>x.1.2</w:t>
      </w:r>
      <w:proofErr w:type="gramEnd"/>
      <w:r w:rsidR="002069C0" w:rsidRPr="0080231C">
        <w:rPr>
          <w:lang w:val="en-US"/>
        </w:rPr>
        <w:tab/>
      </w:r>
      <w:r w:rsidRPr="0080231C">
        <w:rPr>
          <w:lang w:val="en-US"/>
        </w:rPr>
        <w:t>Pre-conditions</w:t>
      </w:r>
    </w:p>
    <w:p w:rsidR="0080231C" w:rsidRPr="0080231C" w:rsidRDefault="0080231C" w:rsidP="0080231C">
      <w:pPr>
        <w:rPr>
          <w:lang w:val="en-US"/>
        </w:rPr>
      </w:pPr>
      <w:r w:rsidRPr="0080231C">
        <w:rPr>
          <w:lang w:val="en-US"/>
        </w:rPr>
        <w:t>The UE on-board the train is loaded with a USIM that is registered on the FRMCS network 1.</w:t>
      </w:r>
    </w:p>
    <w:p w:rsidR="0080231C" w:rsidRPr="0080231C" w:rsidRDefault="0080231C" w:rsidP="0080231C">
      <w:pPr>
        <w:rPr>
          <w:lang w:val="en-US"/>
        </w:rPr>
      </w:pPr>
      <w:r w:rsidRPr="0080231C">
        <w:rPr>
          <w:lang w:val="en-US"/>
        </w:rPr>
        <w:t>The two FRMCS networks have overlapping radio coverage in the buffer area.</w:t>
      </w:r>
    </w:p>
    <w:p w:rsidR="0080231C" w:rsidRPr="0080231C" w:rsidRDefault="0080231C" w:rsidP="0080231C">
      <w:pPr>
        <w:rPr>
          <w:lang w:val="en-US"/>
        </w:rPr>
      </w:pPr>
      <w:r w:rsidRPr="0080231C">
        <w:rPr>
          <w:lang w:val="en-US"/>
        </w:rPr>
        <w:t>There are roaming agreements in place between the two FRMCS networks.</w:t>
      </w:r>
    </w:p>
    <w:p w:rsidR="00234E84" w:rsidRPr="0080231C" w:rsidRDefault="0080231C" w:rsidP="0080231C">
      <w:pPr>
        <w:rPr>
          <w:rFonts w:eastAsia="Calibri"/>
          <w:lang w:val="en-US"/>
        </w:rPr>
      </w:pPr>
      <w:r w:rsidRPr="0080231C">
        <w:rPr>
          <w:lang w:val="en-US"/>
        </w:rPr>
        <w:t>The MCX Client in the train’s cabin has all needed credentials to access services offered by MCX servers in the FRMCS network 1.</w:t>
      </w:r>
    </w:p>
    <w:p w:rsidR="00234E84" w:rsidRPr="0080231C" w:rsidRDefault="00234E84" w:rsidP="00B00980">
      <w:pPr>
        <w:pStyle w:val="Titre3"/>
        <w:rPr>
          <w:lang w:val="en-US"/>
        </w:rPr>
      </w:pPr>
      <w:bookmarkStart w:id="6" w:name="_Toc355779206"/>
      <w:bookmarkStart w:id="7" w:name="_Toc354586744"/>
      <w:bookmarkStart w:id="8" w:name="_Toc354590103"/>
      <w:bookmarkEnd w:id="6"/>
      <w:bookmarkEnd w:id="7"/>
      <w:bookmarkEnd w:id="8"/>
      <w:proofErr w:type="gramStart"/>
      <w:r w:rsidRPr="0080231C">
        <w:rPr>
          <w:lang w:val="en-US"/>
        </w:rPr>
        <w:lastRenderedPageBreak/>
        <w:t>x.1.3</w:t>
      </w:r>
      <w:proofErr w:type="gramEnd"/>
      <w:r w:rsidR="002069C0" w:rsidRPr="0080231C">
        <w:rPr>
          <w:lang w:val="en-US"/>
        </w:rPr>
        <w:tab/>
      </w:r>
      <w:r w:rsidRPr="0080231C">
        <w:rPr>
          <w:lang w:val="en-US"/>
        </w:rPr>
        <w:t>Service Flows</w:t>
      </w:r>
    </w:p>
    <w:p w:rsidR="0080231C" w:rsidRPr="0080231C" w:rsidRDefault="0080231C" w:rsidP="0080231C">
      <w:pPr>
        <w:numPr>
          <w:ilvl w:val="0"/>
          <w:numId w:val="2"/>
        </w:numPr>
        <w:rPr>
          <w:lang w:val="en-US"/>
        </w:rPr>
      </w:pPr>
      <w:r w:rsidRPr="0080231C">
        <w:rPr>
          <w:lang w:val="en-US"/>
        </w:rPr>
        <w:t>The train is progressing under FRMCS 1 coverage. The on-board UE is registered to FRMCS 1 and has established PDU sessions allowing the on-board MCX client to communicate with the MCData and MCPTT servers located in network 1. The active data flows are those related to ETCS2 and Ground to Train Radio services described in sections above and are associated with suitable quality of service parameters by PCF of network 1.</w:t>
      </w:r>
    </w:p>
    <w:p w:rsidR="0080231C" w:rsidRPr="0080231C" w:rsidRDefault="0080231C" w:rsidP="0080231C">
      <w:pPr>
        <w:numPr>
          <w:ilvl w:val="0"/>
          <w:numId w:val="2"/>
        </w:numPr>
        <w:rPr>
          <w:lang w:val="en-US"/>
        </w:rPr>
      </w:pPr>
      <w:r w:rsidRPr="0080231C">
        <w:rPr>
          <w:lang w:val="en-US"/>
        </w:rPr>
        <w:t>The train enters the “buffer” area, the passage on a specific beacon triggers the UE to stop all operations on the FRMCS network 1 and to select FRMCS network 2. The UE registers to the FRMCS network 2 and the onboard MCS client registers to the MCX servers in the FRMCS network 2 using same USIM/MCX credentials thanks to the roaming agreements that are in place between the two 5G/MCX networks. In this process, the two networks coordinate themselves to check UE and MCX client’s credentials, and make sure home subscribed quality of service can be delivered in the new network.</w:t>
      </w:r>
    </w:p>
    <w:p w:rsidR="0080231C" w:rsidRPr="0080231C" w:rsidRDefault="0080231C" w:rsidP="0080231C">
      <w:pPr>
        <w:numPr>
          <w:ilvl w:val="0"/>
          <w:numId w:val="2"/>
        </w:numPr>
        <w:rPr>
          <w:lang w:val="en-US"/>
        </w:rPr>
      </w:pPr>
      <w:r w:rsidRPr="0080231C">
        <w:rPr>
          <w:lang w:val="en-US"/>
        </w:rPr>
        <w:t>The PDU sessions supporting the active MCX services are re-established in the new network with quality of services policies that are suitable to the criticality of the delivered services.</w:t>
      </w:r>
    </w:p>
    <w:p w:rsidR="00234E84" w:rsidRPr="0080231C" w:rsidRDefault="0080231C" w:rsidP="0080231C">
      <w:pPr>
        <w:numPr>
          <w:ilvl w:val="0"/>
          <w:numId w:val="2"/>
        </w:numPr>
        <w:rPr>
          <w:rFonts w:eastAsia="Calibri"/>
          <w:lang w:val="en-US"/>
        </w:rPr>
      </w:pPr>
      <w:r w:rsidRPr="0080231C">
        <w:rPr>
          <w:lang w:val="en-US"/>
        </w:rPr>
        <w:t>ETCS2 and Ground to Train Radio services are re-</w:t>
      </w:r>
      <w:r w:rsidR="00E2382D">
        <w:rPr>
          <w:lang w:val="en-US"/>
        </w:rPr>
        <w:t xml:space="preserve">established in the new network </w:t>
      </w:r>
      <w:r w:rsidRPr="0080231C">
        <w:rPr>
          <w:lang w:val="en-US"/>
        </w:rPr>
        <w:t>with less than 5s interruption time.</w:t>
      </w:r>
    </w:p>
    <w:p w:rsidR="00234E84" w:rsidRPr="0080231C" w:rsidRDefault="00234E84" w:rsidP="00B00980">
      <w:pPr>
        <w:pStyle w:val="Titre3"/>
        <w:rPr>
          <w:lang w:val="en-US"/>
        </w:rPr>
      </w:pPr>
      <w:bookmarkStart w:id="9" w:name="_Toc355779207"/>
      <w:bookmarkStart w:id="10" w:name="_Toc354586745"/>
      <w:bookmarkStart w:id="11" w:name="_Toc354590104"/>
      <w:bookmarkEnd w:id="9"/>
      <w:bookmarkEnd w:id="10"/>
      <w:bookmarkEnd w:id="11"/>
      <w:proofErr w:type="gramStart"/>
      <w:r w:rsidRPr="0080231C">
        <w:rPr>
          <w:lang w:val="en-US"/>
        </w:rPr>
        <w:t>x.1.4</w:t>
      </w:r>
      <w:proofErr w:type="gramEnd"/>
      <w:r w:rsidR="002069C0" w:rsidRPr="0080231C">
        <w:rPr>
          <w:lang w:val="en-US"/>
        </w:rPr>
        <w:tab/>
      </w:r>
      <w:r w:rsidRPr="0080231C">
        <w:rPr>
          <w:lang w:val="en-US"/>
        </w:rPr>
        <w:t>Post-conditions</w:t>
      </w:r>
    </w:p>
    <w:p w:rsidR="00234E84" w:rsidRPr="0080231C" w:rsidRDefault="0080231C" w:rsidP="00B00980">
      <w:pPr>
        <w:rPr>
          <w:rFonts w:eastAsia="Calibri"/>
          <w:lang w:val="en-US"/>
        </w:rPr>
      </w:pPr>
      <w:r w:rsidRPr="0080231C">
        <w:rPr>
          <w:lang w:val="en-US"/>
        </w:rPr>
        <w:t>The train continues safely its way on the new railways network beyond the border.</w:t>
      </w:r>
    </w:p>
    <w:p w:rsidR="00E06C59" w:rsidRPr="0080231C" w:rsidRDefault="00234E84" w:rsidP="00B00980">
      <w:pPr>
        <w:pStyle w:val="Titre3"/>
        <w:rPr>
          <w:lang w:val="en-US"/>
        </w:rPr>
      </w:pPr>
      <w:bookmarkStart w:id="12" w:name="_Toc355779209"/>
      <w:bookmarkStart w:id="13" w:name="_Toc354586747"/>
      <w:bookmarkStart w:id="14" w:name="_Toc354590106"/>
      <w:bookmarkEnd w:id="12"/>
      <w:bookmarkEnd w:id="13"/>
      <w:bookmarkEnd w:id="14"/>
      <w:proofErr w:type="gramStart"/>
      <w:r w:rsidRPr="0080231C">
        <w:rPr>
          <w:lang w:val="en-US"/>
        </w:rPr>
        <w:t>x.1.5</w:t>
      </w:r>
      <w:proofErr w:type="gramEnd"/>
      <w:r w:rsidR="002069C0" w:rsidRPr="0080231C">
        <w:rPr>
          <w:lang w:val="en-US"/>
        </w:rPr>
        <w:tab/>
      </w:r>
      <w:r w:rsidR="00450B4D" w:rsidRPr="0080231C">
        <w:rPr>
          <w:lang w:val="en-US"/>
        </w:rPr>
        <w:t>Existing</w:t>
      </w:r>
      <w:r w:rsidR="00E06C59" w:rsidRPr="0080231C">
        <w:rPr>
          <w:lang w:val="en-US"/>
        </w:rPr>
        <w:t xml:space="preserve"> </w:t>
      </w:r>
      <w:r w:rsidR="00947B57" w:rsidRPr="0080231C">
        <w:rPr>
          <w:lang w:val="en-US"/>
        </w:rPr>
        <w:t>feature</w:t>
      </w:r>
      <w:r w:rsidR="00450B4D" w:rsidRPr="0080231C">
        <w:rPr>
          <w:lang w:val="en-US"/>
        </w:rPr>
        <w:t>s partly or fully covering the use case functionality</w:t>
      </w:r>
    </w:p>
    <w:p w:rsidR="0080231C" w:rsidRPr="0080231C" w:rsidRDefault="0080231C" w:rsidP="0080231C">
      <w:pPr>
        <w:pStyle w:val="EditorsNote"/>
      </w:pPr>
      <w:r w:rsidRPr="0080231C">
        <w:rPr>
          <w:noProof/>
        </w:rPr>
        <w:t>Editor’s note : section left for further study</w:t>
      </w:r>
    </w:p>
    <w:p w:rsidR="00234E84" w:rsidRPr="0080231C" w:rsidRDefault="00E06C59" w:rsidP="00B00980">
      <w:pPr>
        <w:pStyle w:val="Titre3"/>
        <w:rPr>
          <w:lang w:val="en-US"/>
        </w:rPr>
      </w:pPr>
      <w:proofErr w:type="gramStart"/>
      <w:r w:rsidRPr="0080231C">
        <w:rPr>
          <w:lang w:val="en-US"/>
        </w:rPr>
        <w:t>x.1.6</w:t>
      </w:r>
      <w:proofErr w:type="gramEnd"/>
      <w:r w:rsidRPr="0080231C">
        <w:rPr>
          <w:lang w:val="en-US"/>
        </w:rPr>
        <w:tab/>
      </w:r>
      <w:r w:rsidR="00947B57" w:rsidRPr="0080231C">
        <w:rPr>
          <w:lang w:val="en-US"/>
        </w:rPr>
        <w:t>Potential</w:t>
      </w:r>
      <w:r w:rsidR="00234E84" w:rsidRPr="0080231C">
        <w:rPr>
          <w:lang w:val="en-US"/>
        </w:rPr>
        <w:t xml:space="preserve"> </w:t>
      </w:r>
      <w:r w:rsidR="00450B4D" w:rsidRPr="0080231C">
        <w:rPr>
          <w:lang w:val="en-US"/>
        </w:rPr>
        <w:t xml:space="preserve">New </w:t>
      </w:r>
      <w:r w:rsidR="00234E84" w:rsidRPr="0080231C">
        <w:rPr>
          <w:lang w:val="en-US"/>
        </w:rPr>
        <w:t>Requirements</w:t>
      </w:r>
      <w:r w:rsidR="00450B4D" w:rsidRPr="0080231C">
        <w:rPr>
          <w:lang w:val="en-US"/>
        </w:rPr>
        <w:t xml:space="preserve"> needed to support the use case</w:t>
      </w:r>
    </w:p>
    <w:p w:rsidR="0080231C" w:rsidRPr="0080231C" w:rsidRDefault="0080231C" w:rsidP="0080231C">
      <w:pPr>
        <w:rPr>
          <w:lang w:val="en-US"/>
        </w:rPr>
      </w:pPr>
      <w:r w:rsidRPr="0080231C">
        <w:rPr>
          <w:lang w:val="en-US"/>
        </w:rPr>
        <w:t xml:space="preserve">[PR.5.x.6-001]: The 5G system shall </w:t>
      </w:r>
      <w:r w:rsidR="00E96559">
        <w:rPr>
          <w:lang w:val="en-US"/>
        </w:rPr>
        <w:t xml:space="preserve">be able to </w:t>
      </w:r>
      <w:r w:rsidRPr="0080231C">
        <w:rPr>
          <w:lang w:val="en-US"/>
        </w:rPr>
        <w:t xml:space="preserve">support roaming procedures with local breakout connectivity scenarios between </w:t>
      </w:r>
      <w:r w:rsidR="00E96559">
        <w:rPr>
          <w:lang w:val="en-US"/>
        </w:rPr>
        <w:t xml:space="preserve">standalone </w:t>
      </w:r>
      <w:r w:rsidRPr="0080231C">
        <w:rPr>
          <w:lang w:val="en-US"/>
        </w:rPr>
        <w:t>non-public networks.</w:t>
      </w:r>
    </w:p>
    <w:p w:rsidR="00234E84" w:rsidRDefault="0080231C" w:rsidP="0080231C">
      <w:pPr>
        <w:rPr>
          <w:lang w:val="en-US"/>
        </w:rPr>
      </w:pPr>
      <w:r w:rsidRPr="0080231C">
        <w:rPr>
          <w:lang w:val="en-US"/>
        </w:rPr>
        <w:t xml:space="preserve">[PR.5.x.6-002]: The 5G system shall </w:t>
      </w:r>
      <w:r w:rsidR="00E96559">
        <w:rPr>
          <w:lang w:val="en-US"/>
        </w:rPr>
        <w:t xml:space="preserve">be able to </w:t>
      </w:r>
      <w:r w:rsidRPr="0080231C">
        <w:rPr>
          <w:lang w:val="en-US"/>
        </w:rPr>
        <w:t xml:space="preserve">support roaming </w:t>
      </w:r>
      <w:r w:rsidR="00495152">
        <w:rPr>
          <w:lang w:val="en-US"/>
        </w:rPr>
        <w:t>of MCX clients</w:t>
      </w:r>
      <w:r w:rsidRPr="0080231C">
        <w:rPr>
          <w:lang w:val="en-US"/>
        </w:rPr>
        <w:t xml:space="preserve"> between </w:t>
      </w:r>
      <w:r w:rsidR="00E96559">
        <w:rPr>
          <w:lang w:val="en-US"/>
        </w:rPr>
        <w:t xml:space="preserve">standalone </w:t>
      </w:r>
      <w:r w:rsidRPr="0080231C">
        <w:rPr>
          <w:lang w:val="en-US"/>
        </w:rPr>
        <w:t xml:space="preserve">non-public MCX </w:t>
      </w:r>
      <w:bookmarkStart w:id="15" w:name="_GoBack"/>
      <w:bookmarkEnd w:id="15"/>
      <w:r w:rsidRPr="0080231C">
        <w:rPr>
          <w:lang w:val="en-US"/>
        </w:rPr>
        <w:t>networks.</w:t>
      </w:r>
    </w:p>
    <w:p w:rsidR="00E2382D" w:rsidRPr="0080231C" w:rsidRDefault="00E2382D" w:rsidP="00E2382D">
      <w:pPr>
        <w:rPr>
          <w:lang w:val="en-US"/>
        </w:rPr>
      </w:pPr>
      <w:r w:rsidRPr="0080231C">
        <w:rPr>
          <w:lang w:val="en-US"/>
        </w:rPr>
        <w:t>[PR.5.x.6-00</w:t>
      </w:r>
      <w:r>
        <w:rPr>
          <w:lang w:val="en-US"/>
        </w:rPr>
        <w:t>3</w:t>
      </w:r>
      <w:r w:rsidRPr="0080231C">
        <w:rPr>
          <w:lang w:val="en-US"/>
        </w:rPr>
        <w:t xml:space="preserve">]: The 5G system shall </w:t>
      </w:r>
      <w:r>
        <w:rPr>
          <w:lang w:val="en-US"/>
        </w:rPr>
        <w:t xml:space="preserve">be able to </w:t>
      </w:r>
      <w:r w:rsidRPr="0080231C">
        <w:rPr>
          <w:lang w:val="en-US"/>
        </w:rPr>
        <w:t xml:space="preserve">support roaming </w:t>
      </w:r>
      <w:r>
        <w:rPr>
          <w:lang w:val="en-US"/>
        </w:rPr>
        <w:t>of users between standalone non-public networks in less than 5s service interruption time</w:t>
      </w:r>
      <w:r w:rsidRPr="0080231C">
        <w:rPr>
          <w:lang w:val="en-US"/>
        </w:rPr>
        <w:t>.</w:t>
      </w:r>
    </w:p>
    <w:p w:rsidR="00E2382D" w:rsidRPr="0080231C" w:rsidRDefault="00E2382D" w:rsidP="0080231C">
      <w:pPr>
        <w:rPr>
          <w:lang w:val="en-US"/>
        </w:rPr>
      </w:pPr>
    </w:p>
    <w:p w:rsidR="0080231C" w:rsidRPr="0080231C" w:rsidRDefault="0080231C" w:rsidP="0080231C">
      <w:pPr>
        <w:pStyle w:val="EditorsNote"/>
      </w:pPr>
      <w:r w:rsidRPr="0080231C">
        <w:rPr>
          <w:noProof/>
        </w:rPr>
        <w:t>Editor’s note : Performance requirements left for further study</w:t>
      </w:r>
    </w:p>
    <w:p w:rsidR="0080231C" w:rsidRPr="0080231C" w:rsidRDefault="0080231C" w:rsidP="0080231C">
      <w:pPr>
        <w:rPr>
          <w:lang w:val="en-US"/>
        </w:rPr>
      </w:pPr>
    </w:p>
    <w:sectPr w:rsidR="0080231C" w:rsidRPr="0080231C"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A020EF0"/>
    <w:multiLevelType w:val="hybridMultilevel"/>
    <w:tmpl w:val="3CEC8B96"/>
    <w:lvl w:ilvl="0" w:tplc="523C16CE">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7F7C05C3"/>
    <w:multiLevelType w:val="hybridMultilevel"/>
    <w:tmpl w:val="8E282DA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5152"/>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231C"/>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B41"/>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5B25"/>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2382D"/>
    <w:rsid w:val="00E3014F"/>
    <w:rsid w:val="00E3765C"/>
    <w:rsid w:val="00E40B50"/>
    <w:rsid w:val="00E50082"/>
    <w:rsid w:val="00E8003C"/>
    <w:rsid w:val="00E81637"/>
    <w:rsid w:val="00E83B53"/>
    <w:rsid w:val="00E87CFF"/>
    <w:rsid w:val="00E927D6"/>
    <w:rsid w:val="00E95F32"/>
    <w:rsid w:val="00E96559"/>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4CCDCEC-77D2-41D0-97BD-36605623A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customStyle="1" w:styleId="TAL">
    <w:name w:val="TAL"/>
    <w:basedOn w:val="Normal"/>
    <w:rsid w:val="0080231C"/>
    <w:pPr>
      <w:keepNext/>
      <w:keepLines/>
      <w:spacing w:after="0"/>
    </w:pPr>
    <w:rPr>
      <w:rFonts w:ascii="Arial" w:hAnsi="Arial"/>
      <w:sz w:val="18"/>
      <w:lang w:val="en-US"/>
    </w:rPr>
  </w:style>
  <w:style w:type="paragraph" w:customStyle="1" w:styleId="TAH">
    <w:name w:val="TAH"/>
    <w:basedOn w:val="Normal"/>
    <w:qFormat/>
    <w:rsid w:val="0080231C"/>
    <w:pPr>
      <w:keepNext/>
      <w:keepLines/>
      <w:spacing w:after="0"/>
      <w:jc w:val="center"/>
    </w:pPr>
    <w:rPr>
      <w:rFonts w:ascii="Arial" w:hAnsi="Arial"/>
      <w:b/>
      <w:sz w:val="18"/>
      <w:lang w:val="en-US"/>
    </w:rPr>
  </w:style>
  <w:style w:type="paragraph" w:customStyle="1" w:styleId="EditorsNote">
    <w:name w:val="Editor's Note"/>
    <w:basedOn w:val="Normal"/>
    <w:rsid w:val="0080231C"/>
    <w:pPr>
      <w:keepLines/>
      <w:ind w:left="1135" w:hanging="851"/>
    </w:pPr>
    <w:rPr>
      <w:color w:val="FF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972</Words>
  <Characters>5351</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Mathieu LAGRANGE</cp:lastModifiedBy>
  <cp:revision>7</cp:revision>
  <dcterms:created xsi:type="dcterms:W3CDTF">2023-05-11T20:55:00Z</dcterms:created>
  <dcterms:modified xsi:type="dcterms:W3CDTF">2023-05-12T16:07:00Z</dcterms:modified>
</cp:coreProperties>
</file>